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ascii="方正黑体_GBK" w:hAnsi="方正黑体_GBK" w:eastAsia="方正黑体_GBK"/>
          <w:b/>
          <w:bCs/>
          <w:caps w:val="0"/>
          <w:smallCaps w:val="0"/>
          <w:snapToGrid/>
          <w:vanish w:val="0"/>
          <w:color w:val="auto"/>
          <w:kern w:val="0"/>
          <w:sz w:val="24"/>
          <w:szCs w:val="15"/>
          <w:vertAlign w:val="baseline"/>
        </w:rPr>
        <w:t xml:space="preserve"> </w:t>
      </w: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pPr>
        <w:pStyle w:val="42"/>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bookmarkStart w:id="0" w:name="_GoBack"/>
      <w:r>
        <w:rPr>
          <w:rFonts w:hint="eastAsia" w:ascii="宋体" w:hAnsi="宋体" w:eastAsia="宋体" w:cs="宋体"/>
          <w:b/>
          <w:bCs w:val="0"/>
          <w:caps w:val="0"/>
          <w:smallCaps w:val="0"/>
          <w:snapToGrid/>
          <w:vanish w:val="0"/>
          <w:color w:val="3D3D3D"/>
          <w:kern w:val="0"/>
          <w:sz w:val="18"/>
          <w:szCs w:val="15"/>
          <w:vertAlign w:val="baseline"/>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南银理财珠联璧合鑫逸稳三个月16期封闭式公募人民币理财产品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ZZ700322400007</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Z7003224000043(投资者可依据该编码在中国理财网www.chinawealth.com.cn查询理财产品相关信息）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A份额：Y80016</w:t>
            </w:r>
          </w:p>
          <w:p>
            <w:pPr>
              <w:spacing w:line="200" w:lineRule="exact"/>
              <w:rPr>
                <w:rFonts w:hint="eastAsia" w:ascii="宋体" w:hAnsi="宋体" w:eastAsia="宋体" w:cs="宋体"/>
                <w:sz w:val="18"/>
              </w:rPr>
            </w:pPr>
            <w:r>
              <w:rPr>
                <w:rFonts w:hint="eastAsia" w:ascii="宋体" w:hAnsi="宋体" w:eastAsia="宋体" w:cs="宋体"/>
                <w:sz w:val="18"/>
                <w:szCs w:val="18"/>
              </w:rPr>
              <w:t>B份额：Y81016</w:t>
            </w:r>
          </w:p>
          <w:p>
            <w:pPr>
              <w:spacing w:line="200" w:lineRule="exact"/>
              <w:rPr>
                <w:rFonts w:hint="eastAsia" w:ascii="宋体" w:hAnsi="宋体" w:eastAsia="宋体" w:cs="宋体"/>
                <w:sz w:val="18"/>
              </w:rPr>
            </w:pPr>
            <w:r>
              <w:rPr>
                <w:rFonts w:hint="eastAsia" w:ascii="宋体" w:hAnsi="宋体" w:eastAsia="宋体" w:cs="宋体"/>
                <w:sz w:val="18"/>
                <w:szCs w:val="18"/>
              </w:rPr>
              <w:t>C份额：Y82016</w:t>
            </w:r>
          </w:p>
          <w:p>
            <w:pPr>
              <w:spacing w:line="200" w:lineRule="exact"/>
              <w:rPr>
                <w:rFonts w:hint="eastAsia" w:ascii="宋体" w:hAnsi="宋体" w:eastAsia="宋体" w:cs="宋体"/>
                <w:sz w:val="18"/>
              </w:rPr>
            </w:pPr>
            <w:r>
              <w:rPr>
                <w:rFonts w:hint="eastAsia" w:ascii="宋体" w:hAnsi="宋体" w:eastAsia="宋体" w:cs="宋体"/>
                <w:sz w:val="18"/>
                <w:szCs w:val="18"/>
              </w:rPr>
              <w:t>E份额：Y84016</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根据理财产品管理人对理财产品的内部风险评估，本理财产品风险等级为中低风险（本风险等级为管理人内部风险评估结果，仅供参考）。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A份额：除B、C、E份额以外的所有客户（详见“销售机构”条款）。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新客或新资金（5万）或代发客户；杭州银行股份有限公司、温州银行股份有限公司、江苏张家港农村商业银行股份有限公司、嘉兴银行股份有限公司、厦门银行股份有限公司、苏州银行股份有限公司（普通客户）、日照银行股份有限公司、云南红塔银行股份有限公司（代发客户）、中原银行股份有限公司（私行客户）、富邦华一银行股份有限公司（上海地区客户）、桂林银行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C份额：南京银行股份有限公司新开户或新资金（20万）客户；汉口银行股份有限公司（20万元起购）、苏州银行股份有限公司（新客及新资金客户）、宁波通商银行股份有限公司、兴业银行股份有限公司（10万元起购）。</w:t>
            </w:r>
          </w:p>
          <w:p>
            <w:pPr>
              <w:spacing w:line="200" w:lineRule="exact"/>
              <w:rPr>
                <w:rFonts w:hint="eastAsia" w:ascii="宋体" w:hAnsi="宋体" w:eastAsia="宋体" w:cs="宋体"/>
                <w:sz w:val="18"/>
              </w:rPr>
            </w:pPr>
            <w:r>
              <w:rPr>
                <w:rFonts w:hint="eastAsia" w:ascii="宋体" w:hAnsi="宋体" w:eastAsia="宋体" w:cs="宋体"/>
                <w:sz w:val="18"/>
                <w:szCs w:val="18"/>
              </w:rPr>
              <w:t>E份额：兴业银行股份有限公司（钱大掌柜客户）。</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南京银行股份有限公司新客或新资金（5万）或代发客户：</w:t>
            </w:r>
            <w:r>
              <w:rPr>
                <w:rFonts w:hint="eastAsia" w:ascii="宋体" w:hAnsi="宋体" w:eastAsia="宋体" w:cs="宋体"/>
                <w:sz w:val="18"/>
                <w:szCs w:val="18"/>
              </w:rPr>
              <w:t>新客是指2024年理财年日均余额为0的客户。新资金（5万）是指金融资产余额较上月月日均增长5万元及以上的客户。代发是指近90天内有过代发记录的客户（不含跨行代发、批量兑付、批量付息）。</w:t>
            </w:r>
          </w:p>
          <w:p>
            <w:pPr>
              <w:spacing w:line="200" w:lineRule="exact"/>
              <w:rPr>
                <w:rFonts w:hint="eastAsia" w:ascii="宋体" w:hAnsi="宋体" w:eastAsia="宋体" w:cs="宋体"/>
                <w:sz w:val="18"/>
              </w:rPr>
            </w:pPr>
            <w:r>
              <w:rPr>
                <w:rFonts w:hint="eastAsia" w:ascii="宋体" w:hAnsi="宋体" w:eastAsia="宋体" w:cs="宋体"/>
                <w:b/>
                <w:sz w:val="18"/>
                <w:szCs w:val="18"/>
              </w:rPr>
              <w:t>南京银行股份有限公司新开户或新资金（20万）客户：</w:t>
            </w:r>
            <w:r>
              <w:rPr>
                <w:rFonts w:hint="eastAsia" w:ascii="宋体" w:hAnsi="宋体" w:eastAsia="宋体" w:cs="宋体"/>
                <w:sz w:val="18"/>
                <w:szCs w:val="18"/>
              </w:rPr>
              <w:t>新开户是指客户号开立日期大于等于2024年1月1日的客户。新资金（20万）是指金融资产余额较上月月日均增长20万元及以上的客户。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A份额/B份额/C份额/E份额：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2024年01月31日 09:00—2024年02月06日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2024年02月07日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2024年02月07日—实际到期日（</w:t>
            </w:r>
            <w:r>
              <w:rPr>
                <w:rFonts w:hint="eastAsia" w:ascii="宋体" w:hAnsi="宋体" w:eastAsia="宋体" w:cs="宋体"/>
                <w:b/>
                <w:sz w:val="18"/>
                <w:szCs w:val="18"/>
              </w:rPr>
              <w:t>如名义到期日遇国家法定节假日，管理人可结合国家法定节假日安排进行调整。同时管理人有权提前终止本产品（提前终止情形详见本产品说明书其他说明事项第一条）。</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2024年05月16日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当理财产品单位净值不低于1时，管理人可以根据实际情况进行收益分配，分配方式为现金分红，具体分配方案以信息披露为准（分配后理财产品净值不低于1）。</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rPr>
                <w:rFonts w:hint="eastAsia" w:ascii="宋体" w:hAnsi="宋体" w:eastAsia="宋体" w:cs="宋体"/>
                <w:sz w:val="18"/>
              </w:rPr>
            </w:pPr>
            <w:r>
              <w:rPr>
                <w:rFonts w:hint="eastAsia" w:ascii="宋体" w:hAnsi="宋体" w:eastAsia="宋体" w:cs="宋体"/>
                <w:sz w:val="18"/>
                <w:szCs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本理财产品投资于固定收益类资产的比例为100%,投资于非标准化债权类资产的比例不高于50%。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1、信托贷款：资产类型为信托公司设立的固定收益类信托计划，底层资产为向融资人邳州市产业投资控股集团有限公司发放信托贷款，融资人评级为AA+（评级机构为中诚信国际信用评级有限责任公司）。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固定收益类信托计划，底层资产为向融资人徐州经济技术开发区国有资产经营有限责任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3、信托贷款：资产类型为信托公司设立的固定收益类信托计划，底层资产为向融资人徐州金龙湖控股集团有限公司发放信托贷款，融资人评级为AA（评级机构为联合资信评估股份有限公司）。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4、信托贷款：资产类型为信托公司设立的固定收益类信托计划，底层资产为向融资人无锡惠山高科集团有限公司发放信托贷款，融资人评级为AA+（评级机构为上海新世纪资信评估投资服务有限公司）。</w:t>
            </w:r>
          </w:p>
          <w:p>
            <w:pPr>
              <w:spacing w:line="200" w:lineRule="exact"/>
              <w:rPr>
                <w:rFonts w:hint="eastAsia" w:ascii="宋体" w:hAnsi="宋体" w:eastAsia="宋体" w:cs="宋体"/>
                <w:sz w:val="18"/>
              </w:rPr>
            </w:pPr>
            <w:r>
              <w:rPr>
                <w:rFonts w:hint="eastAsia" w:ascii="宋体" w:hAnsi="宋体" w:eastAsia="宋体" w:cs="宋体"/>
                <w:sz w:val="18"/>
                <w:szCs w:val="18"/>
              </w:rPr>
              <w:t>5、信托贷款：资产类型为信托公司设立的固定收益类信托计划，底层资产为向融资人江苏开晟产业发展集团有限公司发放信托贷款，融资人评级为AA+（评级机构为联合资信评估股份有限公司）。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A份额：业绩比较基准为年化3.2%-3.6%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B份额：业绩比较基准为年化3.3%-3.7%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C份额：业绩比较基准为年化3.4%-3.8% 。</w:t>
            </w:r>
          </w:p>
          <w:p>
            <w:pPr>
              <w:spacing w:line="200" w:lineRule="exact"/>
              <w:rPr>
                <w:rFonts w:hint="eastAsia" w:ascii="宋体" w:hAnsi="宋体" w:eastAsia="宋体" w:cs="宋体"/>
                <w:sz w:val="18"/>
              </w:rPr>
            </w:pPr>
            <w:r>
              <w:rPr>
                <w:rFonts w:hint="eastAsia" w:ascii="宋体" w:hAnsi="宋体" w:eastAsia="宋体" w:cs="宋体"/>
                <w:sz w:val="18"/>
                <w:szCs w:val="18"/>
              </w:rPr>
              <w:t>E份额：业绩比较基准为年化3.45%-3.85%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bCs/>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C份额：销售费年化0.1%</w:t>
            </w:r>
          </w:p>
          <w:p>
            <w:pPr>
              <w:spacing w:line="200" w:lineRule="exact"/>
              <w:rPr>
                <w:rFonts w:hint="eastAsia" w:ascii="宋体" w:hAnsi="宋体" w:eastAsia="宋体" w:cs="宋体"/>
                <w:sz w:val="18"/>
              </w:rPr>
            </w:pPr>
            <w:r>
              <w:rPr>
                <w:rFonts w:hint="eastAsia" w:ascii="宋体" w:hAnsi="宋体" w:eastAsia="宋体" w:cs="宋体"/>
                <w:b/>
                <w:sz w:val="18"/>
                <w:szCs w:val="18"/>
              </w:rPr>
              <w:t>E份额：销售费年化0.05%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E份额：固定管理费年化0.1%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rPr>
              <w:t>A份额：到期兑付时，当期产品投资的实际资产组合收益（扣除销售费、固定管理费、托管费等相关费用）在3.2%（含）（年化，即产品该份额对应的业绩报酬计提基准）至3.6%（不含）之间的部分，管理人将按超过3.2%部分的50%收取业绩报酬；在3.6%（含）（年化，即产品该份额对应的业绩报酬计提基准）以上的部分，管理人将按超过3.6%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B份额：到期兑付时，当期产品投资的实际资产组合收益（扣除销售费、固定管理费、托管费等相关费用）在3.3%（含）（年化，即产品该份额对应的业绩报酬计提基准）至3.7%（不含）之间的部分，管理人将按超过3.3%部分的50%收取业绩报酬；在3.7%（含）（年化，即产品该份额对应的业绩报酬计提基准）以上的部分，管理人将按超过3.7%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C份额：到期兑付时，当期产品投资的实际资产组合收益（扣除销售费、固定管理费、托管费等相关费用）在3.4%（含）（年化，即产品该份额对应的业绩报酬计提基准）至3.8%（不含）之间的部分，管理人将按超过3.4%部分的50%收取业绩报酬；在3.8%（含）（年化，即产品该份额对应的业绩报酬计提基准）以上的部分，管理人将按超过3.8%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E份额：到期兑付时，当期产品投资的实际资产组合收益（扣除销售费、固定管理费、托管费等相关费用）在3.45%（含）（年化，即产品该份额对应的业绩报酬计提基准）至3.85%（不含）之间的部分，管理人将按超过3.45%部分的50%收取业绩报酬；在3.85%（含）（年化，即产品该份额对应的业绩报酬计提基准）以上的部分，管理人将按超过3.85%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销售机构为南京银行股份有限公司、兴业银行股份有限公司、青岛银行股份有限公司、杭州银行股份有限公司、汉口银行股份有限公司、嘉兴银行股份有限公司、江苏常熟农村商业银行股份有限公司、厦门银行股份有限公司、福建海峡银行股份有限公司、泰安银行股份有限公司、齐鲁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富邦华一银行有限公司、宁波通商银行股份有限公司、日照银行股份有限公司、无锡农村商业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徐州农村商业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廊坊银行股份有限公司、乌鲁木齐银行股份有限公司、河北银行股份有限公司、江苏姜堰农村商业银行股份有限公司。管理人有权调整本理财产品的销售机构并进行信息披露。</w:t>
            </w:r>
          </w:p>
          <w:p>
            <w:pPr>
              <w:spacing w:line="200" w:lineRule="exact"/>
              <w:jc w:val="left"/>
            </w:pPr>
            <w:r>
              <w:rPr>
                <w:rFonts w:ascii="方正黑体_GBK" w:hAnsi="方正黑体_GBK" w:eastAsia="方正黑体_GBK" w:cs="宋体"/>
                <w:sz w:val="18"/>
                <w:szCs w:val="18"/>
              </w:rPr>
              <w:t>销售机构主要职责如下：</w:t>
            </w:r>
          </w:p>
          <w:p>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pPr>
              <w:spacing w:line="200" w:lineRule="exact"/>
              <w:jc w:val="left"/>
            </w:pPr>
            <w:r>
              <w:rPr>
                <w:rFonts w:ascii="方正黑体_GBK" w:hAnsi="方正黑体_GBK" w:eastAsia="方正黑体_GBK" w:cs="宋体"/>
                <w:sz w:val="18"/>
                <w:szCs w:val="18"/>
              </w:rPr>
              <w:t>3.妥善保管投资者理财产品销售相关资料，保管年限不低于20年；</w:t>
            </w:r>
          </w:p>
          <w:p>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pPr>
              <w:spacing w:line="200" w:lineRule="exact"/>
              <w:jc w:val="left"/>
            </w:pPr>
            <w:r>
              <w:rPr>
                <w:rFonts w:ascii="方正黑体_GBK" w:hAnsi="方正黑体_GBK" w:eastAsia="方正黑体_GBK" w:cs="宋体"/>
                <w:sz w:val="18"/>
                <w:szCs w:val="18"/>
              </w:rPr>
              <w:t>5.建立健全投资者权益保护管理体系，加强投资者适当性管理；</w:t>
            </w:r>
          </w:p>
          <w:p>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本理财产品托管人为南京银行股份有限公司，主要职责如下：</w:t>
            </w:r>
          </w:p>
          <w:p>
            <w:pPr>
              <w:spacing w:line="200" w:lineRule="exact"/>
            </w:pPr>
            <w:r>
              <w:rPr>
                <w:rFonts w:ascii="方正黑体_GBK" w:hAnsi="方正黑体_GBK" w:eastAsia="方正黑体_GBK" w:cs="宋体"/>
                <w:sz w:val="18"/>
                <w:szCs w:val="18"/>
              </w:rPr>
              <w:t>1.安全保管理财产品财产；</w:t>
            </w:r>
          </w:p>
          <w:p>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pPr>
              <w:spacing w:line="200" w:lineRule="exact"/>
            </w:pPr>
            <w:r>
              <w:rPr>
                <w:rFonts w:ascii="方正黑体_GBK" w:hAnsi="方正黑体_GBK" w:eastAsia="方正黑体_GBK" w:cs="宋体"/>
                <w:sz w:val="18"/>
                <w:szCs w:val="18"/>
              </w:rPr>
              <w:t>3.按照托管协议约定和管理人的投资指令，及时办理清算、交割事宜；</w:t>
            </w:r>
          </w:p>
          <w:p>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方正黑体_GBK" w:hAnsi="方正黑体_GBK" w:eastAsia="方正黑体_GBK" w:cs="宋体"/>
                <w:sz w:val="18"/>
                <w:szCs w:val="18"/>
              </w:rPr>
              <w:t>7.理财托管业务活动的记录、账册、报表和其他相关资料保存20年以上；</w:t>
            </w:r>
          </w:p>
          <w:p>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合作机构为国联基金管理有限公司、江苏省国际信托有限责任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2.合作机构为从事理财产品受托投资的机构，主要承担根据合同约定进行受托资金的投资管理的职责：国联基金管理有限公司、江苏省国际信托有限责任公司、中粮信托有限责任公司、鑫元基金管理有限公司。</w:t>
            </w:r>
          </w:p>
          <w:p>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pPr>
              <w:spacing w:line="200" w:lineRule="exact"/>
            </w:pPr>
            <w:r>
              <w:rPr>
                <w:rFonts w:ascii="方正黑体_GBK" w:hAnsi="方正黑体_GBK" w:eastAsia="方正黑体_GBK" w:cs="宋体"/>
                <w:sz w:val="18"/>
                <w:szCs w:val="18"/>
              </w:rPr>
              <w:t>上述投资合作机构简介：</w:t>
            </w:r>
          </w:p>
          <w:p>
            <w:pPr>
              <w:spacing w:line="200" w:lineRule="exact"/>
            </w:pPr>
            <w:r>
              <w:rPr>
                <w:rFonts w:ascii="方正黑体_GBK" w:hAnsi="方正黑体_GBK" w:eastAsia="方正黑体_GBK" w:cs="宋体"/>
                <w:sz w:val="18"/>
                <w:szCs w:val="18"/>
              </w:rPr>
              <w:t>国联基金管理有限公司成立于2013年05月31日，注册资本金11.5亿元。</w:t>
            </w:r>
          </w:p>
          <w:p>
            <w:pPr>
              <w:spacing w:line="200" w:lineRule="exact"/>
            </w:pPr>
            <w:r>
              <w:rPr>
                <w:rFonts w:ascii="方正黑体_GBK" w:hAnsi="方正黑体_GBK" w:eastAsia="方正黑体_GBK" w:cs="宋体"/>
                <w:sz w:val="18"/>
                <w:szCs w:val="18"/>
              </w:rPr>
              <w:t>江苏省国际信托有限责任公司成立于1992年06月01日，注册资本金87.60亿元。</w:t>
            </w:r>
          </w:p>
          <w:p>
            <w:pPr>
              <w:spacing w:line="200" w:lineRule="exact"/>
            </w:pPr>
            <w:r>
              <w:rPr>
                <w:rFonts w:ascii="方正黑体_GBK" w:hAnsi="方正黑体_GBK" w:eastAsia="方正黑体_GBK" w:cs="宋体"/>
                <w:sz w:val="18"/>
                <w:szCs w:val="18"/>
              </w:rPr>
              <w:t>平安资产管理有限责任公司成立于2005年05月27日，注册资本金15亿元。</w:t>
            </w:r>
          </w:p>
          <w:p>
            <w:pPr>
              <w:spacing w:line="200" w:lineRule="exact"/>
            </w:pPr>
            <w:r>
              <w:rPr>
                <w:rFonts w:ascii="方正黑体_GBK" w:hAnsi="方正黑体_GBK" w:eastAsia="方正黑体_GBK" w:cs="宋体"/>
                <w:sz w:val="18"/>
                <w:szCs w:val="18"/>
              </w:rPr>
              <w:t>太平洋资产管理有限责任公司成立于2006年06月09日，注册资本金21亿元。</w:t>
            </w:r>
          </w:p>
          <w:p>
            <w:pPr>
              <w:spacing w:line="200" w:lineRule="exact"/>
            </w:pPr>
            <w:r>
              <w:rPr>
                <w:rFonts w:ascii="方正黑体_GBK" w:hAnsi="方正黑体_GBK" w:eastAsia="方正黑体_GBK" w:cs="宋体"/>
                <w:sz w:val="18"/>
                <w:szCs w:val="18"/>
              </w:rPr>
              <w:t>太平资产管理有限公司成立于2006年09月01日，注册资本金10亿元。</w:t>
            </w:r>
          </w:p>
          <w:p>
            <w:pPr>
              <w:spacing w:line="200" w:lineRule="exact"/>
            </w:pPr>
            <w:r>
              <w:rPr>
                <w:rFonts w:ascii="方正黑体_GBK" w:hAnsi="方正黑体_GBK" w:eastAsia="方正黑体_GBK" w:cs="宋体"/>
                <w:sz w:val="18"/>
                <w:szCs w:val="18"/>
              </w:rPr>
              <w:t>中国人保资产管理有限公司成立于2003年07月16日，注册资本金12.98亿元。</w:t>
            </w:r>
          </w:p>
          <w:p>
            <w:pPr>
              <w:spacing w:line="200" w:lineRule="exact"/>
            </w:pPr>
            <w:r>
              <w:rPr>
                <w:rFonts w:ascii="方正黑体_GBK" w:hAnsi="方正黑体_GBK" w:eastAsia="方正黑体_GBK" w:cs="宋体"/>
                <w:sz w:val="18"/>
                <w:szCs w:val="18"/>
              </w:rPr>
              <w:t>中粮信托有限责任公司成立于2009年07月27日，注册资本金28.3亿元。</w:t>
            </w:r>
          </w:p>
          <w:p>
            <w:pPr>
              <w:spacing w:line="200" w:lineRule="exact"/>
            </w:pPr>
            <w:r>
              <w:rPr>
                <w:rFonts w:ascii="方正黑体_GBK" w:hAnsi="方正黑体_GBK" w:eastAsia="方正黑体_GBK"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如遇理财产品所投资资产部分或全部提前偿付、因不可抗力因素导致本理财产品必须提前终止等情形时，管理人有权提前终止本产品。</w:t>
            </w:r>
          </w:p>
          <w:p>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南银理财珠联璧合鑫逸稳三个月16期封闭式公募人民币理财产品</w:t>
      </w:r>
      <w:r>
        <w:rPr>
          <w:rFonts w:hint="eastAsia" w:ascii="方正黑体_GBK" w:hAnsi="方正黑体_GBK" w:eastAsia="方正黑体_GBK"/>
          <w:vanish w:val="0"/>
          <w:color w:val="3D3D3D"/>
          <w:kern w:val="0"/>
          <w:sz w:val="15"/>
          <w:szCs w:val="15"/>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产品份额净值=产品资产净值/产品总份额。投资者按该份额净值进行理财产品认购、申购和赎回、获得到期/终止时分配。产品份额净值按去尾法保留</w:t>
      </w:r>
      <w:r>
        <w:rPr>
          <w:rFonts w:hint="eastAsia" w:ascii="方正黑体_GBK" w:hAnsi="方正黑体_GBK" w:eastAsia="方正黑体_GBK"/>
          <w:bCs/>
          <w:color w:val="3D3D3D"/>
          <w:kern w:val="0"/>
          <w:sz w:val="15"/>
          <w:szCs w:val="15"/>
          <w:highlight w:val="none"/>
          <w:lang w:val="en-US" w:eastAsia="zh-CN"/>
        </w:rPr>
        <w:t>4</w:t>
      </w:r>
      <w:r>
        <w:rPr>
          <w:rFonts w:ascii="方正黑体_GBK" w:hAnsi="方正黑体_GBK" w:eastAsia="方正黑体_GBK"/>
          <w:bCs/>
          <w:color w:val="3D3D3D"/>
          <w:kern w:val="0"/>
          <w:sz w:val="15"/>
          <w:szCs w:val="15"/>
          <w:highlight w:val="none"/>
        </w:rPr>
        <w:t>位小数。</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pPr>
        <w:spacing w:line="200" w:lineRule="exact"/>
        <w:ind w:firstLine="300"/>
        <w:jc w:val="both"/>
      </w:pPr>
      <w:r>
        <w:rPr>
          <w:rFonts w:ascii="方正黑体_GBK" w:hAnsi="方正黑体_GBK" w:eastAsia="方正黑体_GBK" w:cs="宋体"/>
          <w:sz w:val="15"/>
          <w:szCs w:val="20"/>
        </w:rPr>
        <w:t>（一）估值日</w:t>
      </w:r>
    </w:p>
    <w:p>
      <w:pPr>
        <w:spacing w:line="200" w:lineRule="exact"/>
        <w:ind w:firstLine="300"/>
        <w:jc w:val="both"/>
      </w:pPr>
      <w:r>
        <w:rPr>
          <w:rFonts w:ascii="方正黑体_GBK" w:hAnsi="方正黑体_GBK" w:eastAsia="方正黑体_GBK" w:cs="宋体"/>
          <w:sz w:val="15"/>
          <w:szCs w:val="20"/>
        </w:rPr>
        <w:t>本理财产品每个工作日进行估值。</w:t>
      </w:r>
    </w:p>
    <w:p>
      <w:pPr>
        <w:spacing w:line="200" w:lineRule="exact"/>
        <w:ind w:firstLine="300"/>
        <w:jc w:val="both"/>
      </w:pPr>
      <w:r>
        <w:rPr>
          <w:rFonts w:ascii="方正黑体_GBK" w:hAnsi="方正黑体_GBK" w:eastAsia="方正黑体_GBK" w:cs="宋体"/>
          <w:sz w:val="15"/>
          <w:szCs w:val="20"/>
        </w:rPr>
        <w:t>（二）估值对象</w:t>
      </w:r>
    </w:p>
    <w:p>
      <w:pPr>
        <w:spacing w:line="200" w:lineRule="exact"/>
        <w:ind w:firstLine="300"/>
        <w:jc w:val="both"/>
      </w:pPr>
      <w:r>
        <w:rPr>
          <w:rFonts w:ascii="方正黑体_GBK" w:hAnsi="方正黑体_GBK" w:eastAsia="方正黑体_GBK" w:cs="宋体"/>
          <w:sz w:val="15"/>
          <w:szCs w:val="20"/>
        </w:rPr>
        <w:t>本理财产品所拥有的所有资产及负债。</w:t>
      </w:r>
    </w:p>
    <w:p>
      <w:pPr>
        <w:spacing w:line="200" w:lineRule="exact"/>
        <w:ind w:firstLine="300"/>
        <w:jc w:val="both"/>
      </w:pPr>
      <w:r>
        <w:rPr>
          <w:rFonts w:ascii="方正黑体_GBK" w:hAnsi="方正黑体_GBK" w:eastAsia="方正黑体_GBK" w:cs="宋体"/>
          <w:sz w:val="15"/>
          <w:szCs w:val="20"/>
        </w:rPr>
        <w:t>（三）估值目的</w:t>
      </w:r>
    </w:p>
    <w:p>
      <w:pPr>
        <w:spacing w:line="200" w:lineRule="exact"/>
        <w:ind w:firstLine="300"/>
        <w:jc w:val="both"/>
      </w:pPr>
      <w:r>
        <w:rPr>
          <w:rFonts w:ascii="方正黑体_GBK" w:hAnsi="方正黑体_GBK" w:eastAsia="方正黑体_GBK" w:cs="宋体"/>
          <w:sz w:val="15"/>
          <w:szCs w:val="20"/>
        </w:rPr>
        <w:t>客观、准确反映理财产品的价值。</w:t>
      </w:r>
    </w:p>
    <w:p>
      <w:pPr>
        <w:spacing w:line="200" w:lineRule="exact"/>
        <w:ind w:firstLine="300"/>
        <w:jc w:val="both"/>
      </w:pPr>
      <w:r>
        <w:rPr>
          <w:rFonts w:ascii="方正黑体_GBK" w:hAnsi="方正黑体_GBK" w:eastAsia="方正黑体_GBK" w:cs="宋体"/>
          <w:sz w:val="15"/>
          <w:szCs w:val="20"/>
        </w:rPr>
        <w:t>（四）估值原则</w:t>
      </w:r>
    </w:p>
    <w:p>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pPr>
        <w:spacing w:line="200" w:lineRule="exact"/>
        <w:ind w:firstLine="300"/>
        <w:jc w:val="both"/>
      </w:pPr>
      <w:r>
        <w:rPr>
          <w:rFonts w:ascii="方正黑体_GBK" w:hAnsi="方正黑体_GBK" w:eastAsia="方正黑体_GBK" w:cs="宋体"/>
          <w:sz w:val="15"/>
          <w:szCs w:val="20"/>
        </w:rPr>
        <w:t>（五）估值方法</w:t>
      </w:r>
    </w:p>
    <w:p>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ascii="方正黑体_GBK" w:hAnsi="方正黑体_GBK" w:eastAsia="方正黑体_GBK" w:cs="宋体"/>
          <w:color w:val="000000"/>
          <w:sz w:val="15"/>
          <w:szCs w:val="20"/>
        </w:rPr>
        <w:t>1.银行存款、回购等货币市场工具</w:t>
      </w:r>
    </w:p>
    <w:p>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pPr>
        <w:spacing w:line="200" w:lineRule="exact"/>
        <w:ind w:firstLine="300"/>
      </w:pPr>
      <w:r>
        <w:rPr>
          <w:rFonts w:ascii="方正黑体_GBK" w:hAnsi="方正黑体_GBK" w:eastAsia="方正黑体_GBK" w:cs="宋体"/>
          <w:color w:val="000000"/>
          <w:sz w:val="15"/>
          <w:szCs w:val="20"/>
        </w:rPr>
        <w:t>2.债券类资产</w:t>
      </w:r>
    </w:p>
    <w:p>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方正黑体_GBK" w:hAnsi="方正黑体_GBK" w:eastAsia="方正黑体_GBK" w:cs="宋体"/>
          <w:color w:val="000000"/>
          <w:sz w:val="15"/>
          <w:szCs w:val="20"/>
        </w:rPr>
        <w:t>3.非标准化债权类资产</w:t>
      </w:r>
    </w:p>
    <w:p>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方正黑体_GBK" w:hAnsi="方正黑体_GBK" w:eastAsia="方正黑体_GBK" w:cs="宋体"/>
          <w:color w:val="000000"/>
          <w:sz w:val="15"/>
          <w:szCs w:val="20"/>
        </w:rPr>
        <w:t>4.证券投资基金</w:t>
      </w:r>
    </w:p>
    <w:p>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方正黑体_GBK" w:hAnsi="方正黑体_GBK" w:eastAsia="方正黑体_GBK" w:cs="宋体"/>
          <w:color w:val="000000"/>
          <w:sz w:val="15"/>
          <w:szCs w:val="20"/>
        </w:rPr>
        <w:t>5.股权类资产</w:t>
      </w:r>
    </w:p>
    <w:p>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6.资管计划、信托计划等资产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7.其他资产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pPr>
        <w:spacing w:line="200" w:lineRule="exact"/>
        <w:ind w:firstLine="300"/>
        <w:jc w:val="both"/>
      </w:pPr>
      <w:r>
        <w:rPr>
          <w:rFonts w:ascii="方正黑体_GBK" w:hAnsi="方正黑体_GBK" w:eastAsia="方正黑体_GBK" w:cs="宋体"/>
          <w:sz w:val="15"/>
          <w:szCs w:val="20"/>
        </w:rPr>
        <w:t>（六）估值错误及暂停估值</w:t>
      </w:r>
    </w:p>
    <w:p>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B35508"/>
    <w:multiLevelType w:val="multilevel"/>
    <w:tmpl w:val="65B35508"/>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1">
    <w:nsid w:val="65B35513"/>
    <w:multiLevelType w:val="multilevel"/>
    <w:tmpl w:val="65B35513"/>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65B3551E"/>
    <w:multiLevelType w:val="multilevel"/>
    <w:tmpl w:val="65B3551E"/>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abstractNum w:abstractNumId="3">
    <w:nsid w:val="65B35529"/>
    <w:multiLevelType w:val="multilevel"/>
    <w:tmpl w:val="65B35529"/>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4B1B1084"/>
    <w:rsid w:val="575E49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character" w:styleId="14">
    <w:name w:val="Strong"/>
    <w:qFormat/>
    <w:uiPriority w:val="0"/>
    <w:rPr>
      <w:b/>
    </w:rPr>
  </w:style>
  <w:style w:type="paragraph" w:customStyle="1" w:styleId="15">
    <w:name w:val="Normal479f06c8"/>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19237f3f"/>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1e374caa"/>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4a8743ac"/>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5a7c5335"/>
    <w:qFormat/>
    <w:uiPriority w:val="0"/>
  </w:style>
  <w:style w:type="paragraph" w:customStyle="1" w:styleId="20">
    <w:name w:val="toc 1a36d09b3"/>
    <w:basedOn w:val="15"/>
    <w:next w:val="1"/>
    <w:qFormat/>
    <w:uiPriority w:val="0"/>
  </w:style>
  <w:style w:type="paragraph" w:customStyle="1" w:styleId="21">
    <w:name w:val="toc 2e1e8421e"/>
    <w:basedOn w:val="15"/>
    <w:next w:val="1"/>
    <w:qFormat/>
    <w:uiPriority w:val="0"/>
    <w:pPr>
      <w:ind w:left="420"/>
    </w:pPr>
  </w:style>
  <w:style w:type="paragraph" w:customStyle="1" w:styleId="22">
    <w:name w:val="toc 32c26db06"/>
    <w:basedOn w:val="15"/>
    <w:next w:val="1"/>
    <w:qFormat/>
    <w:uiPriority w:val="0"/>
    <w:pPr>
      <w:ind w:left="840"/>
    </w:pPr>
  </w:style>
  <w:style w:type="paragraph" w:customStyle="1" w:styleId="23">
    <w:name w:val="toc 408598390"/>
    <w:basedOn w:val="15"/>
    <w:next w:val="1"/>
    <w:qFormat/>
    <w:uiPriority w:val="0"/>
    <w:pPr>
      <w:ind w:left="1260"/>
    </w:pPr>
  </w:style>
  <w:style w:type="paragraph" w:customStyle="1" w:styleId="24">
    <w:name w:val="toc 523191387"/>
    <w:basedOn w:val="15"/>
    <w:next w:val="1"/>
    <w:qFormat/>
    <w:uiPriority w:val="0"/>
    <w:pPr>
      <w:ind w:left="1680"/>
    </w:pPr>
  </w:style>
  <w:style w:type="paragraph" w:customStyle="1" w:styleId="25">
    <w:name w:val="header67a9ccd4"/>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55e61dc5"/>
    <w:basedOn w:val="15"/>
    <w:uiPriority w:val="0"/>
    <w:pPr>
      <w:tabs>
        <w:tab w:val="center" w:pos="4153"/>
        <w:tab w:val="right" w:pos="8307"/>
      </w:tabs>
      <w:adjustRightInd/>
      <w:snapToGrid w:val="0"/>
      <w:contextualSpacing w:val="0"/>
      <w:jc w:val="left"/>
    </w:pPr>
    <w:rPr>
      <w:sz w:val="18"/>
    </w:rPr>
  </w:style>
  <w:style w:type="character" w:customStyle="1" w:styleId="27">
    <w:name w:val="Strong1fbd788a"/>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d613387b"/>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d674e23d"/>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c01dcb6c"/>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b0d5341c"/>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ee2d8727"/>
    <w:uiPriority w:val="0"/>
  </w:style>
  <w:style w:type="paragraph" w:customStyle="1" w:styleId="34">
    <w:name w:val="Normal Indentc2234ed3"/>
    <w:basedOn w:val="29"/>
    <w:uiPriority w:val="0"/>
    <w:pPr>
      <w:ind w:firstLine="200" w:firstLineChars="200"/>
    </w:pPr>
  </w:style>
  <w:style w:type="paragraph" w:customStyle="1" w:styleId="35">
    <w:name w:val="toc 5ea9593ea"/>
    <w:basedOn w:val="29"/>
    <w:next w:val="1"/>
    <w:uiPriority w:val="0"/>
    <w:pPr>
      <w:ind w:left="1680"/>
    </w:pPr>
  </w:style>
  <w:style w:type="paragraph" w:customStyle="1" w:styleId="36">
    <w:name w:val="toc 307d62acb"/>
    <w:basedOn w:val="29"/>
    <w:next w:val="1"/>
    <w:uiPriority w:val="0"/>
    <w:pPr>
      <w:ind w:left="840"/>
    </w:pPr>
  </w:style>
  <w:style w:type="paragraph" w:customStyle="1" w:styleId="37">
    <w:name w:val="footerfe19d610"/>
    <w:basedOn w:val="29"/>
    <w:uiPriority w:val="0"/>
    <w:pPr>
      <w:tabs>
        <w:tab w:val="center" w:pos="4153"/>
        <w:tab w:val="right" w:pos="8307"/>
      </w:tabs>
      <w:adjustRightInd/>
      <w:snapToGrid w:val="0"/>
      <w:contextualSpacing w:val="0"/>
      <w:jc w:val="left"/>
    </w:pPr>
    <w:rPr>
      <w:sz w:val="18"/>
    </w:rPr>
  </w:style>
  <w:style w:type="paragraph" w:customStyle="1" w:styleId="38">
    <w:name w:val="headerf5cddba3"/>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94326174"/>
    <w:basedOn w:val="29"/>
    <w:next w:val="1"/>
    <w:uiPriority w:val="0"/>
  </w:style>
  <w:style w:type="paragraph" w:customStyle="1" w:styleId="40">
    <w:name w:val="toc 4fdfd270f"/>
    <w:basedOn w:val="29"/>
    <w:next w:val="1"/>
    <w:uiPriority w:val="0"/>
    <w:pPr>
      <w:ind w:left="1260"/>
    </w:pPr>
  </w:style>
  <w:style w:type="paragraph" w:customStyle="1" w:styleId="41">
    <w:name w:val="toc 247741bf9"/>
    <w:basedOn w:val="29"/>
    <w:next w:val="1"/>
    <w:uiPriority w:val="0"/>
    <w:pPr>
      <w:ind w:left="420"/>
    </w:pPr>
  </w:style>
  <w:style w:type="paragraph" w:customStyle="1" w:styleId="42">
    <w:name w:val="Normal (Web)395644dc"/>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12256a9312256a9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13887ba813887ba8"/>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73d48f9473d48f94"/>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5c2c0ea95c2c0ea9"/>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9ff531569ff53156"/>
    <w:uiPriority w:val="0"/>
  </w:style>
  <w:style w:type="paragraph" w:customStyle="1" w:styleId="49">
    <w:name w:val="引文目录1e518f8afe518f8af"/>
    <w:basedOn w:val="44"/>
    <w:next w:val="1"/>
    <w:uiPriority w:val="0"/>
    <w:pPr>
      <w:ind w:left="200" w:leftChars="200"/>
    </w:pPr>
  </w:style>
  <w:style w:type="paragraph" w:customStyle="1" w:styleId="50">
    <w:name w:val="toc 5d7827168d7827168"/>
    <w:basedOn w:val="44"/>
    <w:next w:val="1"/>
    <w:uiPriority w:val="0"/>
    <w:pPr>
      <w:ind w:left="1680"/>
    </w:pPr>
  </w:style>
  <w:style w:type="paragraph" w:customStyle="1" w:styleId="51">
    <w:name w:val="toc 3fd93021cfd93021c"/>
    <w:basedOn w:val="44"/>
    <w:next w:val="1"/>
    <w:uiPriority w:val="0"/>
    <w:pPr>
      <w:ind w:left="840"/>
    </w:pPr>
  </w:style>
  <w:style w:type="paragraph" w:customStyle="1" w:styleId="52">
    <w:name w:val="footer80d9346f80d9346f"/>
    <w:basedOn w:val="44"/>
    <w:uiPriority w:val="0"/>
    <w:pPr>
      <w:tabs>
        <w:tab w:val="center" w:pos="4153"/>
        <w:tab w:val="right" w:pos="8307"/>
      </w:tabs>
      <w:adjustRightInd/>
      <w:snapToGrid w:val="0"/>
      <w:contextualSpacing w:val="0"/>
      <w:jc w:val="left"/>
    </w:pPr>
    <w:rPr>
      <w:sz w:val="18"/>
    </w:rPr>
  </w:style>
  <w:style w:type="paragraph" w:customStyle="1" w:styleId="53">
    <w:name w:val="header6c9223126c922312"/>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7c004a307c004a30"/>
    <w:basedOn w:val="44"/>
    <w:next w:val="1"/>
    <w:uiPriority w:val="0"/>
  </w:style>
  <w:style w:type="paragraph" w:customStyle="1" w:styleId="55">
    <w:name w:val="toc 45026372750263727"/>
    <w:basedOn w:val="44"/>
    <w:next w:val="1"/>
    <w:uiPriority w:val="0"/>
    <w:pPr>
      <w:ind w:left="1260"/>
    </w:pPr>
  </w:style>
  <w:style w:type="paragraph" w:customStyle="1" w:styleId="56">
    <w:name w:val="toc 2be4904e9be4904e9"/>
    <w:basedOn w:val="44"/>
    <w:next w:val="1"/>
    <w:uiPriority w:val="0"/>
    <w:pPr>
      <w:ind w:left="420"/>
    </w:pPr>
  </w:style>
  <w:style w:type="paragraph" w:customStyle="1" w:styleId="57">
    <w:name w:val="列出段落1ab5b91f9ab5b91f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2</Pages>
  <Words>4074</Words>
  <Characters>4086</Characters>
  <Lines>77</Lines>
  <Paragraphs>27</Paragraphs>
  <TotalTime>0</TotalTime>
  <ScaleCrop>false</ScaleCrop>
  <LinksUpToDate>false</LinksUpToDate>
  <CharactersWithSpaces>4087</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2024-01-30T04:14:45Z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02AEF6DED8204361AEB85E71A6BDE641</vt:lpwstr>
  </property>
</Properties>
</file>